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eastAsia="黑体"/>
          <w:b/>
          <w:color w:val="FF0000"/>
          <w:sz w:val="52"/>
          <w:szCs w:val="52"/>
        </w:rPr>
      </w:pPr>
      <w:r>
        <w:rPr>
          <w:rFonts w:hint="eastAsia" w:ascii="黑体" w:eastAsia="黑体"/>
          <w:b/>
          <w:color w:val="FF0000"/>
          <w:sz w:val="52"/>
          <w:szCs w:val="52"/>
          <w:lang w:val="en-US" w:eastAsia="zh-Hans"/>
        </w:rPr>
        <w:t>宁德五中理科党支部</w:t>
      </w:r>
      <w:r>
        <w:rPr>
          <w:rFonts w:hint="eastAsia" w:ascii="黑体" w:eastAsia="黑体"/>
          <w:b/>
          <w:color w:val="FF0000"/>
          <w:sz w:val="52"/>
          <w:szCs w:val="52"/>
        </w:rPr>
        <w:t>简报</w:t>
      </w:r>
    </w:p>
    <w:p>
      <w:pPr>
        <w:spacing w:line="600" w:lineRule="exact"/>
        <w:ind w:firstLine="420" w:firstLineChars="150"/>
        <w:rPr>
          <w:rFonts w:hint="eastAsia"/>
          <w:sz w:val="28"/>
        </w:rPr>
      </w:pPr>
    </w:p>
    <w:p>
      <w:pPr>
        <w:spacing w:line="600" w:lineRule="exact"/>
        <w:ind w:firstLine="420" w:firstLineChars="150"/>
        <w:rPr>
          <w:sz w:val="28"/>
        </w:rPr>
      </w:pPr>
      <w:r>
        <w:rPr>
          <w:rFonts w:hint="eastAsia"/>
          <w:sz w:val="28"/>
        </w:rPr>
        <w:t>中共宁德五中</w:t>
      </w:r>
      <w:r>
        <w:rPr>
          <w:rFonts w:hint="eastAsia"/>
          <w:sz w:val="28"/>
          <w:lang w:val="en-US" w:eastAsia="zh-Hans"/>
        </w:rPr>
        <w:t>理</w:t>
      </w:r>
      <w:r>
        <w:rPr>
          <w:rFonts w:hint="eastAsia"/>
          <w:sz w:val="28"/>
        </w:rPr>
        <w:t>科支部</w:t>
      </w:r>
      <w:r>
        <w:rPr>
          <w:sz w:val="28"/>
        </w:rPr>
        <w:tab/>
      </w:r>
      <w:r>
        <w:rPr>
          <w:sz w:val="28"/>
        </w:rPr>
        <w:t xml:space="preserve">              2</w:t>
      </w:r>
      <w:r>
        <w:rPr>
          <w:rFonts w:hint="eastAsia"/>
          <w:sz w:val="28"/>
        </w:rPr>
        <w:t>02</w:t>
      </w:r>
      <w:r>
        <w:rPr>
          <w:rFonts w:hint="default"/>
          <w:sz w:val="28"/>
        </w:rPr>
        <w:t>3</w:t>
      </w:r>
      <w:r>
        <w:rPr>
          <w:rFonts w:hint="eastAsia"/>
          <w:sz w:val="28"/>
        </w:rPr>
        <w:t>年</w:t>
      </w:r>
      <w:r>
        <w:rPr>
          <w:rFonts w:hint="default"/>
          <w:sz w:val="28"/>
        </w:rPr>
        <w:t>4</w:t>
      </w:r>
      <w:r>
        <w:rPr>
          <w:rFonts w:hint="eastAsia"/>
          <w:sz w:val="28"/>
        </w:rPr>
        <w:t>月</w:t>
      </w:r>
      <w:r>
        <w:rPr>
          <w:rFonts w:hint="default"/>
          <w:sz w:val="28"/>
        </w:rPr>
        <w:t>7</w:t>
      </w:r>
      <w:r>
        <w:rPr>
          <w:rFonts w:hint="eastAsia"/>
          <w:sz w:val="28"/>
        </w:rPr>
        <w:t>日</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144780</wp:posOffset>
                </wp:positionV>
                <wp:extent cx="5829300" cy="0"/>
                <wp:effectExtent l="0" t="12700" r="12700" b="1270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FF0000"/>
                          </a:solidFill>
                          <a:round/>
                        </a:ln>
                        <a:effectLst/>
                      </wps:spPr>
                      <wps:bodyPr/>
                    </wps:wsp>
                  </a:graphicData>
                </a:graphic>
              </wp:anchor>
            </w:drawing>
          </mc:Choice>
          <mc:Fallback>
            <w:pict>
              <v:line id="直接连接符 3" o:spid="_x0000_s1026" o:spt="20" style="position:absolute;left:0pt;margin-left:0pt;margin-top:11.4pt;height:0pt;width:459pt;z-index:251659264;mso-width-relative:page;mso-height-relative:page;" filled="f" stroked="t" coordsize="21600,21600" o:gfxdata="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vBoNHdMAAAAGAQAADwAAAAAAAAABACAAAAA4AAAAZHJzL2Rvd25yZXYu&#10;eG1sUEsBAhQAFAAAAAgAh07iQIv+gjvqAQAAuQMAAA4AAAAAAAAAAQAgAAAAOAEAAGRycy9lMm9E&#10;b2MueG1sUEsFBgAAAAAGAAYAWQEAAJQFAAAAAA==&#10;">
                <v:fill on="f" focussize="0,0"/>
                <v:stroke weight="2pt" color="#FF0000" joinstyle="round"/>
                <v:imagedata o:title=""/>
                <o:lock v:ext="edit" aspectratio="f"/>
              </v:line>
            </w:pict>
          </mc:Fallback>
        </mc:AlternateContent>
      </w:r>
    </w:p>
    <w:p>
      <w:pPr>
        <w:jc w:val="center"/>
        <w:rPr>
          <w:rFonts w:ascii="宋体" w:hAnsi="宋体" w:cs="宋体"/>
          <w:b/>
          <w:kern w:val="0"/>
          <w:sz w:val="36"/>
          <w:szCs w:val="36"/>
        </w:rPr>
      </w:pPr>
      <w:r>
        <w:rPr>
          <w:rFonts w:hint="eastAsia" w:ascii="宋体" w:hAnsi="宋体" w:cs="宋体"/>
          <w:b/>
          <w:kern w:val="0"/>
          <w:sz w:val="36"/>
          <w:szCs w:val="36"/>
        </w:rPr>
        <w:t>中共宁德五中</w:t>
      </w:r>
      <w:r>
        <w:rPr>
          <w:rFonts w:hint="eastAsia" w:ascii="宋体" w:hAnsi="宋体" w:cs="宋体"/>
          <w:b/>
          <w:kern w:val="0"/>
          <w:sz w:val="36"/>
          <w:szCs w:val="36"/>
          <w:lang w:val="en-US" w:eastAsia="zh-Hans"/>
        </w:rPr>
        <w:t>理</w:t>
      </w:r>
      <w:r>
        <w:rPr>
          <w:rFonts w:hint="eastAsia" w:ascii="宋体" w:hAnsi="宋体" w:cs="宋体"/>
          <w:b/>
          <w:kern w:val="0"/>
          <w:sz w:val="36"/>
          <w:szCs w:val="36"/>
        </w:rPr>
        <w:t>科支部</w:t>
      </w:r>
      <w:r>
        <w:rPr>
          <w:rFonts w:hint="default" w:ascii="宋体" w:hAnsi="宋体" w:cs="宋体"/>
          <w:b/>
          <w:kern w:val="0"/>
          <w:sz w:val="36"/>
          <w:szCs w:val="36"/>
        </w:rPr>
        <w:t>4</w:t>
      </w:r>
      <w:r>
        <w:rPr>
          <w:rFonts w:hint="eastAsia" w:ascii="宋体" w:hAnsi="宋体" w:cs="宋体"/>
          <w:b/>
          <w:kern w:val="0"/>
          <w:sz w:val="36"/>
          <w:szCs w:val="36"/>
        </w:rPr>
        <w:t>月主题党日活动</w:t>
      </w:r>
    </w:p>
    <w:p>
      <w:pPr>
        <w:adjustRightInd w:val="0"/>
        <w:spacing w:line="360" w:lineRule="auto"/>
        <w:ind w:firstLine="560" w:firstLineChars="200"/>
        <w:jc w:val="left"/>
        <w:rPr>
          <w:rFonts w:hint="eastAsia" w:ascii="宋体" w:hAnsi="宋体"/>
          <w:sz w:val="28"/>
          <w:szCs w:val="30"/>
          <w:lang w:val="en-US" w:eastAsia="zh-Hans"/>
        </w:rPr>
      </w:pPr>
      <w:r>
        <w:rPr>
          <w:rFonts w:hint="eastAsia" w:ascii="宋体" w:hAnsi="宋体"/>
          <w:sz w:val="28"/>
          <w:szCs w:val="30"/>
        </w:rPr>
        <w:t>2</w:t>
      </w:r>
      <w:r>
        <w:rPr>
          <w:rFonts w:ascii="宋体" w:hAnsi="宋体"/>
          <w:sz w:val="28"/>
          <w:szCs w:val="30"/>
        </w:rPr>
        <w:t>02</w:t>
      </w:r>
      <w:r>
        <w:rPr>
          <w:rFonts w:hint="default" w:ascii="宋体" w:hAnsi="宋体"/>
          <w:sz w:val="28"/>
          <w:szCs w:val="30"/>
        </w:rPr>
        <w:t>3</w:t>
      </w:r>
      <w:r>
        <w:rPr>
          <w:rFonts w:hint="eastAsia" w:ascii="宋体" w:hAnsi="宋体"/>
          <w:sz w:val="28"/>
          <w:szCs w:val="30"/>
        </w:rPr>
        <w:t>年</w:t>
      </w:r>
      <w:r>
        <w:rPr>
          <w:rFonts w:hint="default" w:ascii="宋体" w:hAnsi="宋体"/>
          <w:sz w:val="28"/>
          <w:szCs w:val="30"/>
        </w:rPr>
        <w:t>4</w:t>
      </w:r>
      <w:r>
        <w:rPr>
          <w:rFonts w:hint="eastAsia" w:ascii="宋体" w:hAnsi="宋体"/>
          <w:sz w:val="28"/>
          <w:szCs w:val="30"/>
        </w:rPr>
        <w:t>月</w:t>
      </w:r>
      <w:r>
        <w:rPr>
          <w:rFonts w:hint="default" w:ascii="宋体" w:hAnsi="宋体"/>
          <w:sz w:val="28"/>
          <w:szCs w:val="30"/>
        </w:rPr>
        <w:t>7</w:t>
      </w:r>
      <w:r>
        <w:rPr>
          <w:rFonts w:hint="eastAsia" w:ascii="宋体" w:hAnsi="宋体"/>
          <w:sz w:val="28"/>
          <w:szCs w:val="30"/>
        </w:rPr>
        <w:t>日，</w:t>
      </w:r>
      <w:r>
        <w:rPr>
          <w:rFonts w:hint="eastAsia" w:ascii="宋体" w:hAnsi="宋体"/>
          <w:sz w:val="28"/>
          <w:szCs w:val="30"/>
          <w:lang w:val="en-US" w:eastAsia="zh-Hans"/>
        </w:rPr>
        <w:t>宁德五中</w:t>
      </w:r>
      <w:r>
        <w:rPr>
          <w:rFonts w:hint="eastAsia" w:ascii="宋体" w:hAnsi="宋体"/>
          <w:sz w:val="28"/>
          <w:szCs w:val="30"/>
        </w:rPr>
        <w:t>全体</w:t>
      </w:r>
      <w:r>
        <w:rPr>
          <w:rFonts w:hint="eastAsia" w:ascii="宋体" w:hAnsi="宋体"/>
          <w:sz w:val="28"/>
          <w:szCs w:val="30"/>
          <w:lang w:val="en-US" w:eastAsia="zh-Hans"/>
        </w:rPr>
        <w:t>理</w:t>
      </w:r>
      <w:r>
        <w:rPr>
          <w:rFonts w:hint="eastAsia" w:ascii="宋体" w:hAnsi="宋体"/>
          <w:sz w:val="28"/>
          <w:szCs w:val="30"/>
        </w:rPr>
        <w:t>科党支部成员</w:t>
      </w:r>
      <w:r>
        <w:rPr>
          <w:rFonts w:hint="eastAsia" w:ascii="宋体" w:hAnsi="宋体"/>
          <w:sz w:val="28"/>
          <w:szCs w:val="30"/>
          <w:lang w:val="en-US" w:eastAsia="zh-Hans"/>
        </w:rPr>
        <w:t>在</w:t>
      </w:r>
      <w:r>
        <w:rPr>
          <w:rFonts w:hint="eastAsia" w:ascii="宋体" w:hAnsi="宋体"/>
          <w:sz w:val="28"/>
          <w:szCs w:val="30"/>
        </w:rPr>
        <w:t>综合楼</w:t>
      </w:r>
      <w:r>
        <w:rPr>
          <w:rFonts w:hint="eastAsia" w:ascii="宋体" w:hAnsi="宋体"/>
          <w:sz w:val="28"/>
          <w:szCs w:val="30"/>
          <w:lang w:val="en-US" w:eastAsia="zh-Hans"/>
        </w:rPr>
        <w:t>六</w:t>
      </w:r>
      <w:r>
        <w:rPr>
          <w:rFonts w:hint="eastAsia" w:ascii="宋体" w:hAnsi="宋体"/>
          <w:sz w:val="28"/>
          <w:szCs w:val="30"/>
        </w:rPr>
        <w:t>楼</w:t>
      </w:r>
      <w:r>
        <w:rPr>
          <w:rFonts w:hint="eastAsia" w:ascii="宋体" w:hAnsi="宋体"/>
          <w:sz w:val="28"/>
          <w:szCs w:val="30"/>
          <w:lang w:val="en-US" w:eastAsia="zh-Hans"/>
        </w:rPr>
        <w:t>会议室召开</w:t>
      </w:r>
      <w:r>
        <w:rPr>
          <w:rFonts w:hint="default" w:ascii="宋体" w:hAnsi="宋体"/>
          <w:sz w:val="28"/>
          <w:szCs w:val="30"/>
          <w:lang w:eastAsia="zh-Hans"/>
        </w:rPr>
        <w:t>4</w:t>
      </w:r>
      <w:r>
        <w:rPr>
          <w:rFonts w:hint="eastAsia" w:ascii="宋体" w:hAnsi="宋体"/>
          <w:sz w:val="28"/>
          <w:szCs w:val="30"/>
          <w:lang w:val="en-US" w:eastAsia="zh-Hans"/>
        </w:rPr>
        <w:t>月理科支部党日活动，会议由理科党支部刘登久书记主持，会议具体内容如下：</w:t>
      </w:r>
    </w:p>
    <w:p>
      <w:pPr>
        <w:adjustRightInd w:val="0"/>
        <w:spacing w:line="360" w:lineRule="auto"/>
        <w:ind w:firstLine="560" w:firstLineChars="200"/>
        <w:jc w:val="left"/>
        <w:rPr>
          <w:rFonts w:hint="default" w:ascii="宋体" w:hAnsi="宋体"/>
          <w:sz w:val="28"/>
          <w:szCs w:val="30"/>
          <w:lang w:val="en-US"/>
        </w:rPr>
      </w:pPr>
      <w:r>
        <w:rPr>
          <w:rFonts w:hint="eastAsia" w:ascii="宋体" w:hAnsi="宋体"/>
          <w:sz w:val="28"/>
          <w:szCs w:val="30"/>
          <w:lang w:val="en-US" w:eastAsia="zh-Hans"/>
        </w:rPr>
        <w:t>首先进行的是</w:t>
      </w:r>
      <w:r>
        <w:rPr>
          <w:rFonts w:hint="eastAsia" w:ascii="宋体" w:hAnsi="宋体"/>
          <w:sz w:val="28"/>
          <w:szCs w:val="30"/>
        </w:rPr>
        <w:t>主题党日五项常规活动</w:t>
      </w:r>
      <w:r>
        <w:rPr>
          <w:rFonts w:hint="eastAsia" w:ascii="宋体" w:hAnsi="宋体"/>
          <w:sz w:val="28"/>
          <w:szCs w:val="30"/>
          <w:lang w:eastAsia="zh-Hans"/>
        </w:rPr>
        <w:t>：</w:t>
      </w:r>
      <w:r>
        <w:rPr>
          <w:rFonts w:hint="eastAsia" w:ascii="宋体" w:hAnsi="宋体"/>
          <w:sz w:val="28"/>
          <w:szCs w:val="30"/>
        </w:rPr>
        <w:t>党员们整齐而响亮地合唱了国歌</w:t>
      </w:r>
      <w:r>
        <w:rPr>
          <w:rFonts w:hint="eastAsia" w:ascii="宋体" w:hAnsi="宋体"/>
          <w:sz w:val="28"/>
          <w:szCs w:val="30"/>
          <w:lang w:eastAsia="zh-Hans"/>
        </w:rPr>
        <w:t>；</w:t>
      </w:r>
      <w:r>
        <w:rPr>
          <w:rFonts w:hint="eastAsia" w:ascii="宋体" w:hAnsi="宋体"/>
          <w:sz w:val="28"/>
          <w:szCs w:val="30"/>
          <w:lang w:val="en-US" w:eastAsia="zh-Hans"/>
        </w:rPr>
        <w:t>刘登久</w:t>
      </w:r>
      <w:r>
        <w:rPr>
          <w:rFonts w:hint="eastAsia" w:ascii="宋体" w:hAnsi="宋体"/>
          <w:sz w:val="28"/>
          <w:szCs w:val="30"/>
        </w:rPr>
        <w:t>同志带领大家进行宣誓，重温了入党誓词</w:t>
      </w:r>
      <w:r>
        <w:rPr>
          <w:rFonts w:hint="eastAsia" w:ascii="宋体" w:hAnsi="宋体"/>
          <w:sz w:val="28"/>
          <w:szCs w:val="30"/>
          <w:lang w:eastAsia="zh-Hans"/>
        </w:rPr>
        <w:t>；</w:t>
      </w:r>
      <w:r>
        <w:rPr>
          <w:rFonts w:hint="eastAsia" w:ascii="宋体" w:hAnsi="宋体"/>
          <w:sz w:val="28"/>
          <w:szCs w:val="30"/>
          <w:lang w:val="en-US" w:eastAsia="zh-Hans"/>
        </w:rPr>
        <w:t>翁芳园同志</w:t>
      </w:r>
      <w:r>
        <w:rPr>
          <w:rFonts w:hint="eastAsia" w:ascii="宋体" w:hAnsi="宋体"/>
          <w:sz w:val="28"/>
          <w:szCs w:val="30"/>
        </w:rPr>
        <w:t>通报了</w:t>
      </w:r>
      <w:r>
        <w:rPr>
          <w:rFonts w:hint="default" w:ascii="宋体" w:hAnsi="宋体"/>
          <w:sz w:val="28"/>
          <w:szCs w:val="30"/>
        </w:rPr>
        <w:t>4</w:t>
      </w:r>
      <w:r>
        <w:rPr>
          <w:rFonts w:hint="eastAsia" w:ascii="宋体" w:hAnsi="宋体"/>
          <w:sz w:val="28"/>
          <w:szCs w:val="30"/>
        </w:rPr>
        <w:t>月党费缴纳情况</w:t>
      </w:r>
      <w:r>
        <w:rPr>
          <w:rFonts w:hint="eastAsia" w:ascii="宋体" w:hAnsi="宋体"/>
          <w:sz w:val="28"/>
          <w:szCs w:val="30"/>
          <w:lang w:eastAsia="zh-Hans"/>
        </w:rPr>
        <w:t>；</w:t>
      </w:r>
      <w:r>
        <w:rPr>
          <w:rFonts w:hint="eastAsia" w:ascii="宋体" w:hAnsi="宋体"/>
          <w:sz w:val="28"/>
          <w:szCs w:val="30"/>
          <w:lang w:val="en-US" w:eastAsia="zh-Hans"/>
        </w:rPr>
        <w:t>孙贝</w:t>
      </w:r>
      <w:r>
        <w:rPr>
          <w:rFonts w:hint="eastAsia" w:ascii="宋体" w:hAnsi="宋体"/>
          <w:sz w:val="28"/>
          <w:szCs w:val="30"/>
        </w:rPr>
        <w:t>同志带领大家诵读了党章第</w:t>
      </w:r>
      <w:r>
        <w:rPr>
          <w:rFonts w:hint="eastAsia" w:ascii="宋体" w:hAnsi="宋体"/>
          <w:sz w:val="28"/>
          <w:szCs w:val="30"/>
          <w:lang w:val="en-US" w:eastAsia="zh-Hans"/>
        </w:rPr>
        <w:t>一</w:t>
      </w:r>
      <w:r>
        <w:rPr>
          <w:rFonts w:hint="eastAsia" w:ascii="宋体" w:hAnsi="宋体"/>
          <w:sz w:val="28"/>
          <w:szCs w:val="30"/>
        </w:rPr>
        <w:t>章</w:t>
      </w:r>
      <w:r>
        <w:rPr>
          <w:rFonts w:hint="eastAsia" w:ascii="宋体" w:hAnsi="宋体"/>
          <w:sz w:val="28"/>
          <w:szCs w:val="30"/>
          <w:lang w:eastAsia="zh-Hans"/>
        </w:rPr>
        <w:t>；</w:t>
      </w:r>
      <w:r>
        <w:rPr>
          <w:rFonts w:hint="eastAsia" w:ascii="宋体" w:hAnsi="宋体"/>
          <w:sz w:val="28"/>
          <w:szCs w:val="30"/>
          <w:lang w:val="en-US" w:eastAsia="zh-Hans"/>
        </w:rPr>
        <w:t>中党的组织路线；黄友波同志通报</w:t>
      </w:r>
      <w:r>
        <w:rPr>
          <w:rFonts w:hint="default" w:ascii="宋体" w:hAnsi="宋体"/>
          <w:sz w:val="28"/>
          <w:szCs w:val="30"/>
          <w:lang w:eastAsia="zh-Hans"/>
        </w:rPr>
        <w:t>4</w:t>
      </w:r>
      <w:r>
        <w:rPr>
          <w:rFonts w:hint="eastAsia" w:ascii="宋体" w:hAnsi="宋体"/>
          <w:sz w:val="28"/>
          <w:szCs w:val="30"/>
          <w:lang w:val="en-US" w:eastAsia="zh-Hans"/>
        </w:rPr>
        <w:t>起违反中央八项规定及相关法规的党规党情事件。</w:t>
      </w:r>
    </w:p>
    <w:p>
      <w:pPr>
        <w:adjustRightInd w:val="0"/>
        <w:spacing w:line="360" w:lineRule="auto"/>
        <w:ind w:firstLine="420" w:firstLineChars="200"/>
        <w:jc w:val="left"/>
        <w:rPr>
          <w:rFonts w:ascii="宋体" w:hAnsi="宋体"/>
          <w:sz w:val="28"/>
          <w:szCs w:val="28"/>
        </w:rPr>
      </w:pPr>
      <w:bookmarkStart w:id="0" w:name="_Hlk63018722"/>
      <w:r>
        <w:drawing>
          <wp:inline distT="0" distB="0" distL="0" distR="0">
            <wp:extent cx="4664710" cy="2936240"/>
            <wp:effectExtent l="0" t="0" r="8890" b="10160"/>
            <wp:docPr id="6" name="图片 6" descr="/Users/apple/Desktop/WechatIMG202.jpegWechatIMG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WechatIMG202.jpegWechatIMG202"/>
                    <pic:cNvPicPr>
                      <a:picLocks noChangeAspect="1" noChangeArrowheads="1"/>
                    </pic:cNvPicPr>
                  </pic:nvPicPr>
                  <pic:blipFill>
                    <a:blip r:embed="rId4"/>
                    <a:srcRect t="15398" r="-777"/>
                    <a:stretch>
                      <a:fillRect/>
                    </a:stretch>
                  </pic:blipFill>
                  <pic:spPr>
                    <a:xfrm>
                      <a:off x="0" y="0"/>
                      <a:ext cx="4664710" cy="2936240"/>
                    </a:xfrm>
                    <a:prstGeom prst="rect">
                      <a:avLst/>
                    </a:prstGeom>
                    <a:noFill/>
                    <a:ln>
                      <a:noFill/>
                    </a:ln>
                  </pic:spPr>
                </pic:pic>
              </a:graphicData>
            </a:graphic>
          </wp:inline>
        </w:drawing>
      </w:r>
    </w:p>
    <w:p>
      <w:pPr>
        <w:adjustRightInd w:val="0"/>
        <w:spacing w:line="360" w:lineRule="auto"/>
        <w:ind w:firstLine="560" w:firstLineChars="200"/>
        <w:jc w:val="left"/>
        <w:rPr>
          <w:rFonts w:ascii="宋体" w:hAnsi="宋体"/>
          <w:sz w:val="28"/>
          <w:szCs w:val="28"/>
        </w:rPr>
      </w:pPr>
      <w:bookmarkStart w:id="1" w:name="_Hlk104126846"/>
      <w:r>
        <w:rPr>
          <w:rFonts w:hint="eastAsia" w:ascii="宋体" w:hAnsi="宋体"/>
          <w:sz w:val="28"/>
          <w:szCs w:val="28"/>
          <w:lang w:val="en-US" w:eastAsia="zh-Hans"/>
        </w:rPr>
        <w:t>然后，黄友波同志</w:t>
      </w:r>
      <w:r>
        <w:rPr>
          <w:rFonts w:hint="eastAsia" w:ascii="宋体" w:hAnsi="宋体"/>
          <w:sz w:val="28"/>
          <w:szCs w:val="28"/>
        </w:rPr>
        <w:t>上党课《</w:t>
      </w:r>
      <w:r>
        <w:rPr>
          <w:rFonts w:hint="eastAsia" w:ascii="宋体" w:hAnsi="宋体"/>
          <w:sz w:val="28"/>
          <w:szCs w:val="28"/>
          <w:lang w:val="en-US" w:eastAsia="zh-Hans"/>
        </w:rPr>
        <w:t>反腐倡廉专题党课</w:t>
      </w:r>
      <w:r>
        <w:rPr>
          <w:rFonts w:hint="eastAsia" w:ascii="宋体" w:hAnsi="宋体"/>
          <w:sz w:val="28"/>
          <w:szCs w:val="28"/>
        </w:rPr>
        <w:t>》</w:t>
      </w:r>
      <w:r>
        <w:rPr>
          <w:rFonts w:hint="eastAsia" w:ascii="宋体" w:hAnsi="宋体"/>
          <w:sz w:val="28"/>
          <w:szCs w:val="28"/>
          <w:lang w:eastAsia="zh-Hans"/>
        </w:rPr>
        <w:t>，</w:t>
      </w:r>
      <w:r>
        <w:rPr>
          <w:rFonts w:hint="eastAsia" w:ascii="宋体" w:hAnsi="宋体"/>
          <w:sz w:val="28"/>
          <w:szCs w:val="28"/>
          <w:lang w:val="en-US" w:eastAsia="zh-Hans"/>
        </w:rPr>
        <w:t>主要内容如下：</w:t>
      </w:r>
      <w:bookmarkEnd w:id="0"/>
      <w:bookmarkEnd w:id="1"/>
    </w:p>
    <w:p>
      <w:pPr>
        <w:adjustRightInd w:val="0"/>
        <w:spacing w:line="360" w:lineRule="auto"/>
        <w:jc w:val="left"/>
        <w:rPr>
          <w:rFonts w:hint="eastAsia" w:ascii="宋体" w:hAnsi="宋体"/>
          <w:sz w:val="28"/>
          <w:szCs w:val="28"/>
          <w:lang w:val="en-US" w:eastAsia="zh-Hans"/>
        </w:rPr>
      </w:pPr>
      <w:r>
        <w:rPr>
          <w:rFonts w:hint="eastAsia" w:ascii="宋体" w:hAnsi="宋体"/>
          <w:sz w:val="28"/>
          <w:szCs w:val="28"/>
        </w:rPr>
        <w:t>十九届中央纪律检查委员会向中国共产党第二十次全国代表大会的工作报告（2022年10月22日中国共产党第二十次全国代表大会通过）</w:t>
      </w:r>
      <w:r>
        <w:rPr>
          <w:rFonts w:hint="eastAsia" w:ascii="宋体" w:hAnsi="宋体"/>
          <w:sz w:val="28"/>
          <w:szCs w:val="28"/>
          <w:lang w:val="en-US" w:eastAsia="zh-Hans"/>
        </w:rPr>
        <w:t>首先总结了党的十九大以来的工作：以习近平新时代中国特色社会主义思想为指导，坚定新时代纪检监察工作根本政治方向；担负“两个维护”重大政治责任，围绕党和国家工作大局发挥监督保障执行、促进完善发展作用；认真履行监督第一职责，充分发挥监督在管党治党、国家治理中的重要基础作用；一体推进不敢腐、不能腐、不想腐，推动反腐败斗争取得压倒性胜利并全面巩固；锲而不舍落实中央八项规定精神，持续有力纠治“四风”；贯彻落实中央巡视工作方针，充分彰显全面从严治党利剑作用；坚决整治群众身边的不正之风和腐败问题，切实增强人民群众获得感、幸福感、安全感；全面深化纪检监察体制改革，推动完善党和国家监督体系；运用法治思维和法治方式正风肃纪反腐，不断提升规范化、法治化、正规化水平；弘扬伟大建党精神和自我革命精神，锻造忠诚干净担当的纪检监察队伍。</w:t>
      </w:r>
    </w:p>
    <w:p>
      <w:pPr>
        <w:adjustRightInd w:val="0"/>
        <w:spacing w:line="360" w:lineRule="auto"/>
        <w:ind w:firstLine="560" w:firstLineChars="200"/>
        <w:jc w:val="left"/>
        <w:rPr>
          <w:rFonts w:ascii="宋体" w:hAnsi="宋体"/>
          <w:sz w:val="28"/>
          <w:szCs w:val="28"/>
        </w:rPr>
      </w:pPr>
      <w:r>
        <w:rPr>
          <w:rFonts w:hint="eastAsia" w:ascii="宋体" w:hAnsi="宋体"/>
          <w:sz w:val="28"/>
          <w:szCs w:val="28"/>
          <w:lang w:val="en-US" w:eastAsia="zh-Hans"/>
        </w:rPr>
        <w:t>又提出了今后五年的工作建议：坚持不懈用党的创新理论凝心铸魂，保障党的二十大战略部署落实见效；坚定不移推进全面从严治党，推动完善党的自我革命制度规范体系。持续深化纪检监察体制改革，促进完善党内法规制度体系，健全党纪国法相互衔接、权威高效的执行机制；提高一体推进不敢腐、不能腐、不想腐能力和水平，坚决打赢反腐败斗争攻坚战持久战；坚持以严的基调强化正风肃纪，推动纠治“四风”常态化长效化。坚持党性党风党纪一起抓，把正风肃纪反腐着力点放在督促干部廉洁用权、为民用权上；牢记打铁必须自身硬，做对党忠诚、为国奉献、为民造福的卫士。</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7D831"/>
    <w:rsid w:val="7E77D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米粒</dc:creator>
  <cp:lastModifiedBy>米粒</cp:lastModifiedBy>
  <dcterms:modified xsi:type="dcterms:W3CDTF">2023-04-08T16:27:42Z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8990461713AA7A5A9B22316417E1A27E</vt:lpwstr>
  </property>
</Properties>
</file>